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4B05" w14:textId="77777777" w:rsidR="008E1F6C" w:rsidRPr="008E1F6C" w:rsidRDefault="008E1F6C" w:rsidP="008E1F6C">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8E1F6C">
        <w:rPr>
          <w:rFonts w:ascii="Times" w:eastAsia="Times New Roman" w:hAnsi="Times" w:cs="Times"/>
          <w:b/>
          <w:bCs/>
          <w:color w:val="2F2F2F"/>
          <w:kern w:val="36"/>
          <w:sz w:val="18"/>
          <w:szCs w:val="18"/>
          <w:lang w:eastAsia="es-MX"/>
        </w:rPr>
        <w:t>NORMAS para establecer la estructura de información del formato del ejercicio y destino de gasto federalizado y reintegros.</w:t>
      </w:r>
    </w:p>
    <w:p w14:paraId="0683E416"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Con fundamento en los artículos 9, fracciones I y IX, 14 y 81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la:</w:t>
      </w:r>
    </w:p>
    <w:p w14:paraId="0CD1D2F2" w14:textId="77777777" w:rsidR="008E1F6C" w:rsidRPr="008E1F6C" w:rsidRDefault="008E1F6C" w:rsidP="008E1F6C">
      <w:pPr>
        <w:shd w:val="clear" w:color="auto" w:fill="FFFFFF"/>
        <w:spacing w:after="42" w:line="240" w:lineRule="auto"/>
        <w:jc w:val="center"/>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Normas para establecer la estructura de información del formato del ejercicio y destino de gasto</w:t>
      </w:r>
      <w:r w:rsidRPr="008E1F6C">
        <w:rPr>
          <w:rFonts w:ascii="Arial" w:eastAsia="Times New Roman" w:hAnsi="Arial" w:cs="Arial"/>
          <w:color w:val="2F2F2F"/>
          <w:sz w:val="18"/>
          <w:szCs w:val="18"/>
          <w:lang w:eastAsia="es-MX"/>
        </w:rPr>
        <w:br/>
      </w:r>
      <w:r w:rsidRPr="008E1F6C">
        <w:rPr>
          <w:rFonts w:ascii="Helvetica" w:eastAsia="Times New Roman" w:hAnsi="Helvetica" w:cs="Helvetica"/>
          <w:b/>
          <w:bCs/>
          <w:color w:val="2F2F2F"/>
          <w:sz w:val="18"/>
          <w:szCs w:val="18"/>
          <w:lang w:eastAsia="es-MX"/>
        </w:rPr>
        <w:t>federalizado y reintegros.</w:t>
      </w:r>
    </w:p>
    <w:p w14:paraId="6896552B"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Objeto</w:t>
      </w:r>
    </w:p>
    <w:p w14:paraId="6A4E48DB"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1.</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Establecer la estructura del formato del ejercicio y destino de gasto federalizado, así como de reintegros para que la información financiera que generen y publiquen los entes obligados sea con base en estructuras y formatos armonizados.</w:t>
      </w:r>
    </w:p>
    <w:p w14:paraId="584DEB86"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Ambito de aplicación</w:t>
      </w:r>
    </w:p>
    <w:p w14:paraId="40515815"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2.</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Las presentes disposiciones serán de observancia obligatoria para las entidades federativas, municipios y demarcaciones territoriales del Distrito Federal.</w:t>
      </w:r>
    </w:p>
    <w:p w14:paraId="0BAD06C2"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Normas</w:t>
      </w:r>
    </w:p>
    <w:p w14:paraId="07E8EDE3"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3.</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De conformidad al artículo 81 de la Ley General de Contabilidad Gubernamental, la información respecto al ejercicio y destino del gasto federalizado, así como respecto al reintegro de los recursos federales no devengados por los entes obligados, para efectos de los informes trimestrales y la cuenta pública, deberá presentarse en los formatos aprobados por el Consejo Nacional de Armonización Contable.</w:t>
      </w:r>
    </w:p>
    <w:p w14:paraId="0DFAD3CB"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b/>
          <w:bCs/>
          <w:color w:val="2F2F2F"/>
          <w:sz w:val="18"/>
          <w:szCs w:val="18"/>
          <w:lang w:eastAsia="es-MX"/>
        </w:rPr>
        <w:t>Precisiones al formato</w:t>
      </w:r>
    </w:p>
    <w:p w14:paraId="6A9BBA4E"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4.</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Esquema para la integración de la información del ejercicio y destino de gasto federalizado y reintegros, el formato se integra principalmente por:</w:t>
      </w:r>
    </w:p>
    <w:p w14:paraId="73473EF0"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a)</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Programa o Fondo: detalle del Fondo o Programa.</w:t>
      </w:r>
    </w:p>
    <w:p w14:paraId="0F468004"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b)</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Destino de los Recursos: población a la que se dirigen los recursos del programa o fondo.</w:t>
      </w:r>
    </w:p>
    <w:p w14:paraId="1EA9D2A0"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c)</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Ejercicio: se refiere a las columnas en las que se anotaran los importes devengados y pagados al período que se informa.</w:t>
      </w:r>
    </w:p>
    <w:p w14:paraId="74020E4D"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d)</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Reintegro: recursos no utilizados que se tendrán que reintegrar a su correspondiente Tesorería o a la Tesorería de la Federación.</w:t>
      </w:r>
    </w:p>
    <w:p w14:paraId="0DEB996F" w14:textId="77777777" w:rsidR="008E1F6C" w:rsidRPr="008E1F6C" w:rsidRDefault="008E1F6C" w:rsidP="008E1F6C">
      <w:pPr>
        <w:shd w:val="clear" w:color="auto" w:fill="FFFFFF"/>
        <w:spacing w:after="42" w:line="240" w:lineRule="auto"/>
        <w:ind w:hanging="360"/>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e)</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Periodicidad: De forma trimestral y anual.</w:t>
      </w:r>
    </w:p>
    <w:p w14:paraId="2269FBBC" w14:textId="77777777" w:rsidR="008E1F6C" w:rsidRPr="008E1F6C" w:rsidRDefault="008E1F6C" w:rsidP="008E1F6C">
      <w:pPr>
        <w:shd w:val="clear" w:color="auto" w:fill="FFFFFF"/>
        <w:spacing w:after="42" w:line="240" w:lineRule="auto"/>
        <w:ind w:hanging="432"/>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5.</w:t>
      </w:r>
      <w:r w:rsidRPr="008E1F6C">
        <w:rPr>
          <w:rFonts w:ascii="Arial" w:eastAsia="Times New Roman" w:hAnsi="Arial" w:cs="Arial"/>
          <w:color w:val="2F2F2F"/>
          <w:sz w:val="20"/>
          <w:szCs w:val="20"/>
          <w:lang w:eastAsia="es-MX"/>
        </w:rPr>
        <w:t>     </w:t>
      </w:r>
      <w:r w:rsidRPr="008E1F6C">
        <w:rPr>
          <w:rFonts w:ascii="Helvetica" w:eastAsia="Times New Roman" w:hAnsi="Helvetica" w:cs="Helvetica"/>
          <w:color w:val="2F2F2F"/>
          <w:sz w:val="18"/>
          <w:szCs w:val="18"/>
          <w:lang w:eastAsia="es-MX"/>
        </w:rPr>
        <w:t>Para la estructura de la información relativa al ejercicio y destino del gasto federalizado, así como de reintegros y su presentación, los entes obligados deberán observar el formato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24"/>
        <w:gridCol w:w="3044"/>
        <w:gridCol w:w="1316"/>
        <w:gridCol w:w="1292"/>
        <w:gridCol w:w="1272"/>
      </w:tblGrid>
      <w:tr w:rsidR="008E1F6C" w:rsidRPr="008E1F6C" w14:paraId="1075F1A6" w14:textId="77777777" w:rsidTr="008E1F6C">
        <w:trPr>
          <w:trHeight w:val="789"/>
        </w:trPr>
        <w:tc>
          <w:tcPr>
            <w:tcW w:w="741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EB2EEA"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Entidad Federativa/Municipio</w:t>
            </w:r>
          </w:p>
          <w:p w14:paraId="1773BC20"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Formato del ejercicio y destino de gasto federalizado y reintegros</w:t>
            </w:r>
          </w:p>
          <w:p w14:paraId="4E04C76E"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Al período (trimestral o anual)</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639C75"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r>
      <w:tr w:rsidR="00F256FE" w:rsidRPr="008E1F6C" w14:paraId="1401C34F" w14:textId="77777777" w:rsidTr="008E1F6C">
        <w:trPr>
          <w:trHeight w:val="258"/>
        </w:trPr>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C4292D"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Programa o Fondo</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6C5BD8"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Destino de los Recursos</w:t>
            </w:r>
          </w:p>
        </w:tc>
        <w:tc>
          <w:tcPr>
            <w:tcW w:w="24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0C45A8"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Ejercicio</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D93637"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Reintegro</w:t>
            </w:r>
          </w:p>
        </w:tc>
      </w:tr>
      <w:tr w:rsidR="008E1F6C" w:rsidRPr="008E1F6C" w14:paraId="5C69858E" w14:textId="77777777" w:rsidTr="008E1F6C">
        <w:trPr>
          <w:trHeight w:val="258"/>
        </w:trPr>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AE73AF"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998CD14"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003D34"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DEVENGADO</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38AB91" w14:textId="77777777" w:rsidR="008E1F6C" w:rsidRPr="008E1F6C" w:rsidRDefault="008E1F6C" w:rsidP="008E1F6C">
            <w:pPr>
              <w:spacing w:after="42" w:line="240" w:lineRule="auto"/>
              <w:jc w:val="center"/>
              <w:rPr>
                <w:rFonts w:ascii="Arial" w:eastAsia="Times New Roman" w:hAnsi="Arial" w:cs="Arial"/>
                <w:color w:val="000000"/>
                <w:sz w:val="16"/>
                <w:szCs w:val="16"/>
                <w:lang w:eastAsia="es-MX"/>
              </w:rPr>
            </w:pPr>
            <w:r w:rsidRPr="008E1F6C">
              <w:rPr>
                <w:rFonts w:ascii="Helvetica" w:eastAsia="Times New Roman" w:hAnsi="Helvetica" w:cs="Helvetica"/>
                <w:color w:val="000000"/>
                <w:sz w:val="16"/>
                <w:szCs w:val="16"/>
                <w:lang w:eastAsia="es-MX"/>
              </w:rPr>
              <w:t>PAGADO</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1A8B93" w14:textId="77777777" w:rsidR="008E1F6C" w:rsidRPr="008E1F6C" w:rsidRDefault="008E1F6C" w:rsidP="008E1F6C">
            <w:pPr>
              <w:spacing w:after="42" w:line="240" w:lineRule="auto"/>
              <w:jc w:val="center"/>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tc>
      </w:tr>
      <w:tr w:rsidR="008E1F6C" w:rsidRPr="008E1F6C" w14:paraId="6F49DE20" w14:textId="77777777" w:rsidTr="00F256FE">
        <w:trPr>
          <w:trHeight w:val="423"/>
        </w:trPr>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357BDD" w14:textId="28BBB0B1" w:rsidR="008E1F6C" w:rsidRPr="008E1F6C" w:rsidRDefault="008E1F6C" w:rsidP="008E1F6C">
            <w:pPr>
              <w:spacing w:after="42" w:line="240" w:lineRule="auto"/>
              <w:jc w:val="both"/>
              <w:rPr>
                <w:rFonts w:ascii="Arial" w:eastAsia="Times New Roman" w:hAnsi="Arial" w:cs="Arial"/>
                <w:color w:val="000000"/>
                <w:sz w:val="12"/>
                <w:szCs w:val="12"/>
                <w:lang w:eastAsia="es-MX"/>
              </w:rPr>
            </w:pPr>
            <w:r w:rsidRPr="008E1F6C">
              <w:rPr>
                <w:rFonts w:ascii="Arial" w:eastAsia="Times New Roman" w:hAnsi="Arial" w:cs="Arial"/>
                <w:color w:val="000000"/>
                <w:sz w:val="12"/>
                <w:szCs w:val="12"/>
                <w:lang w:eastAsia="es-MX"/>
              </w:rPr>
              <w:t> </w:t>
            </w:r>
            <w:r w:rsidR="00AF6F67">
              <w:rPr>
                <w:rFonts w:ascii="Arial" w:eastAsia="Times New Roman" w:hAnsi="Arial" w:cs="Arial"/>
                <w:color w:val="000000"/>
                <w:sz w:val="12"/>
                <w:szCs w:val="12"/>
                <w:lang w:eastAsia="es-MX"/>
              </w:rPr>
              <w:t xml:space="preserve">222511261 </w:t>
            </w:r>
            <w:r w:rsidRPr="00F256FE">
              <w:rPr>
                <w:rFonts w:ascii="Arial" w:eastAsia="Times New Roman" w:hAnsi="Arial" w:cs="Arial"/>
                <w:color w:val="000000"/>
                <w:sz w:val="12"/>
                <w:szCs w:val="12"/>
                <w:lang w:eastAsia="es-MX"/>
              </w:rPr>
              <w:t>APY FIN TELEBACHILLERATO COMUNITARIO</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30DFF8"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28D8F237" w14:textId="77777777" w:rsidR="008E1F6C" w:rsidRPr="008E1F6C" w:rsidRDefault="008E1F6C" w:rsidP="008E1F6C">
            <w:pPr>
              <w:jc w:val="both"/>
              <w:rPr>
                <w:rFonts w:ascii="Arial" w:hAnsi="Arial" w:cs="Arial"/>
                <w:color w:val="000000"/>
                <w:sz w:val="18"/>
                <w:szCs w:val="18"/>
              </w:rPr>
            </w:pPr>
            <w:r w:rsidRPr="008E1F6C">
              <w:rPr>
                <w:rFonts w:ascii="Arial" w:hAnsi="Arial" w:cs="Arial"/>
                <w:color w:val="000000"/>
                <w:sz w:val="18"/>
                <w:szCs w:val="18"/>
              </w:rPr>
              <w:t>Servicios Personales</w:t>
            </w:r>
          </w:p>
          <w:p w14:paraId="39DDC0FA" w14:textId="06627BB7"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0FBAF" w14:textId="5EBF5381" w:rsidR="008E1F6C" w:rsidRPr="008E1F6C" w:rsidRDefault="00855E16" w:rsidP="008E1F6C">
            <w:pPr>
              <w:jc w:val="both"/>
              <w:rPr>
                <w:rFonts w:ascii="Arial" w:hAnsi="Arial" w:cs="Arial"/>
                <w:color w:val="000000"/>
                <w:sz w:val="18"/>
                <w:szCs w:val="18"/>
              </w:rPr>
            </w:pPr>
            <w:r>
              <w:rPr>
                <w:rFonts w:ascii="Arial" w:hAnsi="Arial" w:cs="Arial"/>
                <w:color w:val="000000"/>
                <w:sz w:val="18"/>
                <w:szCs w:val="18"/>
              </w:rPr>
              <w:t>14,136,565.51</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99B109B" w14:textId="6C0A97BD" w:rsidR="008E1F6C" w:rsidRPr="008E1F6C" w:rsidRDefault="00855E16" w:rsidP="008E1F6C">
            <w:pPr>
              <w:spacing w:after="42" w:line="240" w:lineRule="auto"/>
              <w:jc w:val="both"/>
              <w:rPr>
                <w:rFonts w:ascii="Arial" w:eastAsia="Times New Roman" w:hAnsi="Arial" w:cs="Arial"/>
                <w:color w:val="000000"/>
                <w:sz w:val="18"/>
                <w:szCs w:val="18"/>
                <w:lang w:eastAsia="es-MX"/>
              </w:rPr>
            </w:pPr>
            <w:r>
              <w:rPr>
                <w:rFonts w:ascii="Arial" w:hAnsi="Arial" w:cs="Arial"/>
                <w:color w:val="000000"/>
                <w:sz w:val="18"/>
                <w:szCs w:val="18"/>
              </w:rPr>
              <w:t>13,120,692.51</w:t>
            </w:r>
          </w:p>
          <w:p w14:paraId="57041947" w14:textId="2DB29D81"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34A952E" w14:textId="06709B7E" w:rsidR="008E1F6C" w:rsidRPr="008E1F6C" w:rsidRDefault="008E1F6C" w:rsidP="008E1F6C">
            <w:pPr>
              <w:spacing w:after="42" w:line="240" w:lineRule="auto"/>
              <w:jc w:val="right"/>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0.00</w:t>
            </w:r>
          </w:p>
        </w:tc>
      </w:tr>
      <w:tr w:rsidR="008E1F6C" w:rsidRPr="008E1F6C" w14:paraId="775051A6" w14:textId="77777777" w:rsidTr="00F256FE">
        <w:trPr>
          <w:trHeight w:val="320"/>
        </w:trPr>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DB5859" w14:textId="19078090" w:rsidR="008E1F6C" w:rsidRPr="008E1F6C" w:rsidRDefault="008E1F6C" w:rsidP="008E1F6C">
            <w:pPr>
              <w:spacing w:after="42" w:line="240" w:lineRule="auto"/>
              <w:jc w:val="both"/>
              <w:rPr>
                <w:rFonts w:ascii="Arial" w:eastAsia="Times New Roman" w:hAnsi="Arial" w:cs="Arial"/>
                <w:color w:val="000000"/>
                <w:sz w:val="12"/>
                <w:szCs w:val="12"/>
                <w:lang w:eastAsia="es-MX"/>
              </w:rPr>
            </w:pPr>
            <w:r w:rsidRPr="008E1F6C">
              <w:rPr>
                <w:rFonts w:ascii="Arial" w:eastAsia="Times New Roman" w:hAnsi="Arial" w:cs="Arial"/>
                <w:color w:val="000000"/>
                <w:sz w:val="12"/>
                <w:szCs w:val="12"/>
                <w:lang w:eastAsia="es-MX"/>
              </w:rPr>
              <w:t> </w:t>
            </w:r>
            <w:r w:rsidR="00AF6F67" w:rsidRPr="008E1F6C">
              <w:rPr>
                <w:rFonts w:ascii="Arial" w:eastAsia="Times New Roman" w:hAnsi="Arial" w:cs="Arial"/>
                <w:color w:val="000000"/>
                <w:sz w:val="12"/>
                <w:szCs w:val="12"/>
                <w:lang w:eastAsia="es-MX"/>
              </w:rPr>
              <w:t> </w:t>
            </w:r>
            <w:r w:rsidR="00AF6F67">
              <w:rPr>
                <w:rFonts w:ascii="Arial" w:eastAsia="Times New Roman" w:hAnsi="Arial" w:cs="Arial"/>
                <w:color w:val="000000"/>
                <w:sz w:val="12"/>
                <w:szCs w:val="12"/>
                <w:lang w:eastAsia="es-MX"/>
              </w:rPr>
              <w:t xml:space="preserve">222511261 </w:t>
            </w:r>
            <w:r w:rsidRPr="00F256FE">
              <w:rPr>
                <w:rFonts w:ascii="Arial" w:eastAsia="Times New Roman" w:hAnsi="Arial" w:cs="Arial"/>
                <w:color w:val="000000"/>
                <w:sz w:val="12"/>
                <w:szCs w:val="12"/>
                <w:lang w:eastAsia="es-MX"/>
              </w:rPr>
              <w:t>APY FIN TELEBACHILLERATO COMUNITARIO</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3F2DBE"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5B8275AB" w14:textId="77777777" w:rsidR="008E1F6C" w:rsidRDefault="008E1F6C" w:rsidP="008E1F6C">
            <w:pPr>
              <w:jc w:val="both"/>
              <w:rPr>
                <w:rFonts w:ascii="Arial" w:hAnsi="Arial" w:cs="Arial"/>
                <w:color w:val="000000"/>
                <w:sz w:val="18"/>
                <w:szCs w:val="18"/>
              </w:rPr>
            </w:pPr>
            <w:r>
              <w:rPr>
                <w:rFonts w:ascii="Arial" w:hAnsi="Arial" w:cs="Arial"/>
                <w:color w:val="000000"/>
                <w:sz w:val="18"/>
                <w:szCs w:val="18"/>
              </w:rPr>
              <w:t>Gastos de Operación</w:t>
            </w:r>
          </w:p>
          <w:p w14:paraId="1CD94FBC" w14:textId="1C2C1C1C"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1A53F0" w14:textId="5170A1C3" w:rsidR="008E1F6C" w:rsidRDefault="00855E16" w:rsidP="00855E16">
            <w:pPr>
              <w:rPr>
                <w:rFonts w:ascii="Arial" w:hAnsi="Arial" w:cs="Arial"/>
                <w:color w:val="000000"/>
                <w:sz w:val="18"/>
                <w:szCs w:val="18"/>
              </w:rPr>
            </w:pPr>
            <w:r>
              <w:rPr>
                <w:rFonts w:ascii="Arial" w:hAnsi="Arial" w:cs="Arial"/>
                <w:color w:val="000000"/>
                <w:sz w:val="18"/>
                <w:szCs w:val="18"/>
              </w:rPr>
              <w:t>297, 341. 45</w:t>
            </w:r>
          </w:p>
          <w:p w14:paraId="57D4AD72" w14:textId="0859D596"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9B1EAE"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37D73DC6" w14:textId="6E50046D" w:rsidR="00855E16" w:rsidRDefault="00855E16" w:rsidP="00855E16">
            <w:pPr>
              <w:jc w:val="right"/>
              <w:rPr>
                <w:rFonts w:ascii="Arial" w:hAnsi="Arial" w:cs="Arial"/>
                <w:color w:val="000000"/>
                <w:sz w:val="18"/>
                <w:szCs w:val="18"/>
              </w:rPr>
            </w:pPr>
            <w:r>
              <w:rPr>
                <w:rFonts w:ascii="Arial" w:hAnsi="Arial" w:cs="Arial"/>
                <w:color w:val="000000"/>
                <w:sz w:val="18"/>
                <w:szCs w:val="18"/>
              </w:rPr>
              <w:t>29</w:t>
            </w:r>
            <w:r>
              <w:rPr>
                <w:rFonts w:ascii="Arial" w:hAnsi="Arial" w:cs="Arial"/>
                <w:color w:val="000000"/>
                <w:sz w:val="18"/>
                <w:szCs w:val="18"/>
              </w:rPr>
              <w:t>7</w:t>
            </w:r>
            <w:r>
              <w:rPr>
                <w:rFonts w:ascii="Arial" w:hAnsi="Arial" w:cs="Arial"/>
                <w:color w:val="000000"/>
                <w:sz w:val="18"/>
                <w:szCs w:val="18"/>
              </w:rPr>
              <w:t>,</w:t>
            </w:r>
            <w:r>
              <w:rPr>
                <w:rFonts w:ascii="Arial" w:hAnsi="Arial" w:cs="Arial"/>
                <w:color w:val="000000"/>
                <w:sz w:val="18"/>
                <w:szCs w:val="18"/>
              </w:rPr>
              <w:t xml:space="preserve"> </w:t>
            </w:r>
            <w:r>
              <w:rPr>
                <w:rFonts w:ascii="Arial" w:hAnsi="Arial" w:cs="Arial"/>
                <w:color w:val="000000"/>
                <w:sz w:val="18"/>
                <w:szCs w:val="18"/>
              </w:rPr>
              <w:t>341.45</w:t>
            </w:r>
          </w:p>
          <w:p w14:paraId="150ED991" w14:textId="7F34AB43"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5BD3968" w14:textId="782A5C31" w:rsidR="008E1F6C" w:rsidRPr="008E1F6C" w:rsidRDefault="008E1F6C" w:rsidP="008E1F6C">
            <w:pPr>
              <w:spacing w:after="42" w:line="240" w:lineRule="auto"/>
              <w:jc w:val="right"/>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0.00</w:t>
            </w:r>
          </w:p>
        </w:tc>
      </w:tr>
      <w:tr w:rsidR="008E1F6C" w:rsidRPr="008E1F6C" w14:paraId="01E793C2" w14:textId="77777777" w:rsidTr="00F256FE">
        <w:trPr>
          <w:trHeight w:val="500"/>
        </w:trPr>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F594BB5" w14:textId="4FDBE2D6" w:rsidR="008E1F6C" w:rsidRPr="008E1F6C" w:rsidRDefault="008E1F6C" w:rsidP="008E1F6C">
            <w:pPr>
              <w:spacing w:after="42" w:line="240" w:lineRule="auto"/>
              <w:jc w:val="both"/>
              <w:rPr>
                <w:rFonts w:ascii="Arial" w:eastAsia="Times New Roman" w:hAnsi="Arial" w:cs="Arial"/>
                <w:color w:val="000000"/>
                <w:sz w:val="12"/>
                <w:szCs w:val="12"/>
                <w:lang w:eastAsia="es-MX"/>
              </w:rPr>
            </w:pPr>
            <w:r w:rsidRPr="008E1F6C">
              <w:rPr>
                <w:rFonts w:ascii="Arial" w:eastAsia="Times New Roman" w:hAnsi="Arial" w:cs="Arial"/>
                <w:color w:val="000000"/>
                <w:sz w:val="12"/>
                <w:szCs w:val="12"/>
                <w:lang w:eastAsia="es-MX"/>
              </w:rPr>
              <w:t> </w:t>
            </w:r>
            <w:r w:rsidR="00AF6F67" w:rsidRPr="008E1F6C">
              <w:rPr>
                <w:rFonts w:ascii="Arial" w:eastAsia="Times New Roman" w:hAnsi="Arial" w:cs="Arial"/>
                <w:color w:val="000000"/>
                <w:sz w:val="12"/>
                <w:szCs w:val="12"/>
                <w:lang w:eastAsia="es-MX"/>
              </w:rPr>
              <w:t> </w:t>
            </w:r>
            <w:r w:rsidR="00AF6F67">
              <w:rPr>
                <w:rFonts w:ascii="Arial" w:eastAsia="Times New Roman" w:hAnsi="Arial" w:cs="Arial"/>
                <w:color w:val="000000"/>
                <w:sz w:val="12"/>
                <w:szCs w:val="12"/>
                <w:lang w:eastAsia="es-MX"/>
              </w:rPr>
              <w:t xml:space="preserve">222511261 </w:t>
            </w:r>
            <w:r w:rsidRPr="00F256FE">
              <w:rPr>
                <w:rFonts w:ascii="Arial" w:eastAsia="Times New Roman" w:hAnsi="Arial" w:cs="Arial"/>
                <w:color w:val="000000"/>
                <w:sz w:val="12"/>
                <w:szCs w:val="12"/>
                <w:lang w:eastAsia="es-MX"/>
              </w:rPr>
              <w:t>APY FIN TELEBACHILLERATO COMUNITARIO</w:t>
            </w:r>
          </w:p>
        </w:tc>
        <w:tc>
          <w:tcPr>
            <w:tcW w:w="3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AA3581"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690E3762" w14:textId="3B6F12D7" w:rsidR="008E1F6C" w:rsidRDefault="008E1F6C" w:rsidP="008E1F6C">
            <w:pPr>
              <w:jc w:val="both"/>
              <w:rPr>
                <w:rFonts w:ascii="Arial" w:hAnsi="Arial" w:cs="Arial"/>
                <w:color w:val="000000"/>
                <w:sz w:val="18"/>
                <w:szCs w:val="18"/>
              </w:rPr>
            </w:pPr>
            <w:r>
              <w:rPr>
                <w:rFonts w:ascii="Arial" w:hAnsi="Arial" w:cs="Arial"/>
                <w:color w:val="000000"/>
                <w:sz w:val="18"/>
                <w:szCs w:val="18"/>
              </w:rPr>
              <w:t>Adquisición de mobiliario y equipo de computo</w:t>
            </w:r>
          </w:p>
          <w:p w14:paraId="7FBA4913" w14:textId="010BF45D"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29CDEE" w14:textId="77777777" w:rsidR="008E1F6C" w:rsidRPr="008E1F6C" w:rsidRDefault="008E1F6C" w:rsidP="008E1F6C">
            <w:pPr>
              <w:spacing w:after="42" w:line="240" w:lineRule="auto"/>
              <w:jc w:val="right"/>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1E941A98" w14:textId="3AE360CB" w:rsidR="008E1F6C" w:rsidRDefault="00855E16" w:rsidP="008E1F6C">
            <w:pPr>
              <w:jc w:val="right"/>
              <w:rPr>
                <w:rFonts w:ascii="Arial" w:hAnsi="Arial" w:cs="Arial"/>
                <w:color w:val="000000"/>
                <w:sz w:val="18"/>
                <w:szCs w:val="18"/>
              </w:rPr>
            </w:pPr>
            <w:r>
              <w:rPr>
                <w:rFonts w:ascii="Arial" w:hAnsi="Arial" w:cs="Arial"/>
                <w:color w:val="000000"/>
                <w:sz w:val="18"/>
                <w:szCs w:val="18"/>
              </w:rPr>
              <w:t>14,448,637.10</w:t>
            </w:r>
          </w:p>
          <w:p w14:paraId="28925471" w14:textId="1A30834D" w:rsidR="008E1F6C" w:rsidRPr="008E1F6C" w:rsidRDefault="008E1F6C" w:rsidP="008E1F6C">
            <w:pPr>
              <w:spacing w:after="42" w:line="240" w:lineRule="auto"/>
              <w:jc w:val="right"/>
              <w:rPr>
                <w:rFonts w:ascii="Arial" w:eastAsia="Times New Roman" w:hAnsi="Arial" w:cs="Arial"/>
                <w:color w:val="000000"/>
                <w:sz w:val="18"/>
                <w:szCs w:val="18"/>
                <w:lang w:eastAsia="es-MX"/>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56A30B" w14:textId="77777777" w:rsidR="008E1F6C" w:rsidRPr="008E1F6C" w:rsidRDefault="008E1F6C" w:rsidP="008E1F6C">
            <w:pPr>
              <w:spacing w:after="42" w:line="240" w:lineRule="auto"/>
              <w:jc w:val="both"/>
              <w:rPr>
                <w:rFonts w:ascii="Arial" w:eastAsia="Times New Roman" w:hAnsi="Arial" w:cs="Arial"/>
                <w:color w:val="000000"/>
                <w:sz w:val="18"/>
                <w:szCs w:val="18"/>
                <w:lang w:eastAsia="es-MX"/>
              </w:rPr>
            </w:pPr>
            <w:r w:rsidRPr="008E1F6C">
              <w:rPr>
                <w:rFonts w:ascii="Arial" w:eastAsia="Times New Roman" w:hAnsi="Arial" w:cs="Arial"/>
                <w:color w:val="000000"/>
                <w:sz w:val="18"/>
                <w:szCs w:val="18"/>
                <w:lang w:eastAsia="es-MX"/>
              </w:rPr>
              <w:t> </w:t>
            </w:r>
          </w:p>
          <w:p w14:paraId="21AD8F96" w14:textId="1A6A3C2B" w:rsidR="00855E16" w:rsidRDefault="00855E16" w:rsidP="00855E16">
            <w:pPr>
              <w:rPr>
                <w:rFonts w:ascii="Arial" w:hAnsi="Arial" w:cs="Arial"/>
                <w:color w:val="000000"/>
                <w:sz w:val="18"/>
                <w:szCs w:val="18"/>
              </w:rPr>
            </w:pPr>
            <w:r>
              <w:rPr>
                <w:rFonts w:ascii="Arial" w:hAnsi="Arial" w:cs="Arial"/>
                <w:color w:val="000000"/>
                <w:sz w:val="18"/>
                <w:szCs w:val="18"/>
              </w:rPr>
              <w:t>14,448,637.10</w:t>
            </w:r>
          </w:p>
          <w:p w14:paraId="10BE3451" w14:textId="1D3C09F4" w:rsidR="008E1F6C" w:rsidRPr="008E1F6C" w:rsidRDefault="008E1F6C" w:rsidP="008E1F6C">
            <w:pPr>
              <w:spacing w:after="42" w:line="240" w:lineRule="auto"/>
              <w:jc w:val="both"/>
              <w:rPr>
                <w:rFonts w:ascii="Arial" w:eastAsia="Times New Roman" w:hAnsi="Arial" w:cs="Arial"/>
                <w:color w:val="000000"/>
                <w:sz w:val="18"/>
                <w:szCs w:val="18"/>
                <w:lang w:eastAsia="es-MX"/>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0856DC8" w14:textId="77777777" w:rsidR="00855E16" w:rsidRDefault="00855E16" w:rsidP="008E1F6C">
            <w:pPr>
              <w:jc w:val="right"/>
              <w:rPr>
                <w:rFonts w:ascii="Arial" w:eastAsia="Times New Roman" w:hAnsi="Arial" w:cs="Arial"/>
                <w:color w:val="000000"/>
                <w:sz w:val="18"/>
                <w:szCs w:val="18"/>
                <w:lang w:eastAsia="es-MX"/>
              </w:rPr>
            </w:pPr>
          </w:p>
          <w:p w14:paraId="208C9902" w14:textId="4CD69E58" w:rsidR="008E1F6C" w:rsidRDefault="00855E16" w:rsidP="008E1F6C">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p w14:paraId="6BE9C2EB" w14:textId="423E3888" w:rsidR="00855E16" w:rsidRPr="008E1F6C" w:rsidRDefault="00855E16" w:rsidP="008E1F6C">
            <w:pPr>
              <w:jc w:val="right"/>
              <w:rPr>
                <w:rFonts w:ascii="Arial" w:hAnsi="Arial" w:cs="Arial"/>
                <w:color w:val="000000"/>
                <w:sz w:val="18"/>
                <w:szCs w:val="18"/>
              </w:rPr>
            </w:pPr>
          </w:p>
        </w:tc>
      </w:tr>
    </w:tbl>
    <w:p w14:paraId="2C1C199F"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Arial" w:eastAsia="Times New Roman" w:hAnsi="Arial" w:cs="Arial"/>
          <w:color w:val="2F2F2F"/>
          <w:sz w:val="18"/>
          <w:szCs w:val="18"/>
          <w:lang w:eastAsia="es-MX"/>
        </w:rPr>
        <w:t> </w:t>
      </w:r>
    </w:p>
    <w:p w14:paraId="4D0FBFAE" w14:textId="77777777" w:rsidR="008E1F6C" w:rsidRPr="008E1F6C" w:rsidRDefault="008E1F6C" w:rsidP="008E1F6C">
      <w:pPr>
        <w:shd w:val="clear" w:color="auto" w:fill="FFFFFF"/>
        <w:spacing w:after="42" w:line="240" w:lineRule="auto"/>
        <w:ind w:firstLine="288"/>
        <w:jc w:val="both"/>
        <w:rPr>
          <w:rFonts w:ascii="Arial" w:eastAsia="Times New Roman" w:hAnsi="Arial" w:cs="Arial"/>
          <w:color w:val="2F2F2F"/>
          <w:sz w:val="18"/>
          <w:szCs w:val="18"/>
          <w:lang w:eastAsia="es-MX"/>
        </w:rPr>
      </w:pPr>
      <w:r w:rsidRPr="008E1F6C">
        <w:rPr>
          <w:rFonts w:ascii="Helvetica" w:eastAsia="Times New Roman" w:hAnsi="Helvetica" w:cs="Helvetica"/>
          <w:color w:val="2F2F2F"/>
          <w:sz w:val="18"/>
          <w:szCs w:val="18"/>
          <w:lang w:eastAsia="es-MX"/>
        </w:rPr>
        <w:t>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HAGO CONSTAR Y CERTIFICO que el documento consistente en 1 foja útil, rubricada y cotejada, denominado Normas para establecer la estructura de información del formato del ejercicio y destino de gasto federalizado y reintegros,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8E1F6C">
        <w:rPr>
          <w:rFonts w:ascii="Helvetica" w:eastAsia="Times New Roman" w:hAnsi="Helvetica" w:cs="Helvetica"/>
          <w:b/>
          <w:bCs/>
          <w:color w:val="2F2F2F"/>
          <w:sz w:val="18"/>
          <w:szCs w:val="18"/>
          <w:lang w:eastAsia="es-MX"/>
        </w:rPr>
        <w:t>Juan Manuel Alcocer Gamba</w:t>
      </w:r>
      <w:r w:rsidRPr="008E1F6C">
        <w:rPr>
          <w:rFonts w:ascii="Helvetica" w:eastAsia="Times New Roman" w:hAnsi="Helvetica" w:cs="Helvetica"/>
          <w:color w:val="2F2F2F"/>
          <w:sz w:val="18"/>
          <w:szCs w:val="18"/>
          <w:lang w:eastAsia="es-MX"/>
        </w:rPr>
        <w:t>.- Rúbrica.</w:t>
      </w:r>
    </w:p>
    <w:p w14:paraId="70395BA9" w14:textId="77777777" w:rsidR="008E1F6C" w:rsidRPr="008E1F6C" w:rsidRDefault="008E1F6C" w:rsidP="008E1F6C">
      <w:pPr>
        <w:shd w:val="clear" w:color="auto" w:fill="FFFFFF"/>
        <w:spacing w:after="101" w:line="240" w:lineRule="auto"/>
        <w:ind w:firstLine="288"/>
        <w:jc w:val="both"/>
        <w:rPr>
          <w:rFonts w:ascii="Arial" w:eastAsia="Times New Roman" w:hAnsi="Arial" w:cs="Arial"/>
          <w:color w:val="2F2F2F"/>
          <w:sz w:val="18"/>
          <w:szCs w:val="18"/>
          <w:lang w:eastAsia="es-MX"/>
        </w:rPr>
      </w:pPr>
      <w:r w:rsidRPr="008E1F6C">
        <w:rPr>
          <w:rFonts w:ascii="Arial" w:eastAsia="Times New Roman" w:hAnsi="Arial" w:cs="Arial"/>
          <w:color w:val="2F2F2F"/>
          <w:sz w:val="18"/>
          <w:szCs w:val="18"/>
          <w:lang w:eastAsia="es-MX"/>
        </w:rPr>
        <w:t> </w:t>
      </w:r>
    </w:p>
    <w:p w14:paraId="23992CFE" w14:textId="5FFC4D22" w:rsidR="00EB13B6" w:rsidRDefault="00EB13B6"/>
    <w:p w14:paraId="713F4650" w14:textId="30784DB8" w:rsidR="009D7A86" w:rsidRPr="009D7A86" w:rsidRDefault="009D7A86">
      <w:pPr>
        <w:rPr>
          <w:b/>
          <w:bCs/>
        </w:rPr>
      </w:pPr>
      <w:r w:rsidRPr="009D7A86">
        <w:rPr>
          <w:b/>
          <w:bCs/>
        </w:rPr>
        <w:t xml:space="preserve">Nota: La diferencia entre el gasto devengado y pagado correspondiente a los servicios personales por la cantidad de </w:t>
      </w:r>
      <w:r w:rsidR="00855E16">
        <w:rPr>
          <w:b/>
          <w:bCs/>
        </w:rPr>
        <w:t>1,015</w:t>
      </w:r>
      <w:r w:rsidRPr="009D7A86">
        <w:rPr>
          <w:b/>
          <w:bCs/>
        </w:rPr>
        <w:t>,</w:t>
      </w:r>
      <w:r w:rsidR="00855E16">
        <w:rPr>
          <w:b/>
          <w:bCs/>
        </w:rPr>
        <w:t>873.00</w:t>
      </w:r>
      <w:r w:rsidRPr="009D7A86">
        <w:rPr>
          <w:b/>
          <w:bCs/>
        </w:rPr>
        <w:t xml:space="preserve"> corresponde al monto que se</w:t>
      </w:r>
      <w:r w:rsidR="00A44D33">
        <w:rPr>
          <w:b/>
          <w:bCs/>
        </w:rPr>
        <w:t xml:space="preserve"> tiene comprometido, devengado, ejercido </w:t>
      </w:r>
      <w:r w:rsidR="00855E16">
        <w:rPr>
          <w:b/>
          <w:bCs/>
        </w:rPr>
        <w:t xml:space="preserve">AL 2023 </w:t>
      </w:r>
      <w:r w:rsidR="00A44D33">
        <w:rPr>
          <w:b/>
          <w:bCs/>
        </w:rPr>
        <w:t>y pendiente de</w:t>
      </w:r>
      <w:r w:rsidRPr="009D7A86">
        <w:rPr>
          <w:b/>
          <w:bCs/>
        </w:rPr>
        <w:t xml:space="preserve"> pag</w:t>
      </w:r>
      <w:r w:rsidR="00A44D33">
        <w:rPr>
          <w:b/>
          <w:bCs/>
        </w:rPr>
        <w:t>o</w:t>
      </w:r>
      <w:r w:rsidRPr="009D7A86">
        <w:rPr>
          <w:b/>
          <w:bCs/>
        </w:rPr>
        <w:t xml:space="preserve"> en el mes de enero 202</w:t>
      </w:r>
      <w:r w:rsidR="00855E16">
        <w:rPr>
          <w:b/>
          <w:bCs/>
        </w:rPr>
        <w:t>4</w:t>
      </w:r>
      <w:r w:rsidRPr="009D7A86">
        <w:rPr>
          <w:b/>
          <w:bCs/>
        </w:rPr>
        <w:t xml:space="preserve">  </w:t>
      </w:r>
    </w:p>
    <w:p w14:paraId="3E366E15" w14:textId="77777777" w:rsidR="009D7A86" w:rsidRDefault="009D7A86"/>
    <w:sectPr w:rsidR="009D7A86" w:rsidSect="00524E6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87"/>
    <w:rsid w:val="00524E62"/>
    <w:rsid w:val="005F6487"/>
    <w:rsid w:val="00640766"/>
    <w:rsid w:val="00855E16"/>
    <w:rsid w:val="008E1F6C"/>
    <w:rsid w:val="009D7A86"/>
    <w:rsid w:val="00A44D33"/>
    <w:rsid w:val="00AF6F67"/>
    <w:rsid w:val="00B86B89"/>
    <w:rsid w:val="00EB13B6"/>
    <w:rsid w:val="00F25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C009"/>
  <w15:chartTrackingRefBased/>
  <w15:docId w15:val="{6973F61F-8A63-41E4-B92B-527A93A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774">
      <w:bodyDiv w:val="1"/>
      <w:marLeft w:val="0"/>
      <w:marRight w:val="0"/>
      <w:marTop w:val="0"/>
      <w:marBottom w:val="0"/>
      <w:divBdr>
        <w:top w:val="none" w:sz="0" w:space="0" w:color="auto"/>
        <w:left w:val="none" w:sz="0" w:space="0" w:color="auto"/>
        <w:bottom w:val="none" w:sz="0" w:space="0" w:color="auto"/>
        <w:right w:val="none" w:sz="0" w:space="0" w:color="auto"/>
      </w:divBdr>
    </w:div>
    <w:div w:id="692614645">
      <w:bodyDiv w:val="1"/>
      <w:marLeft w:val="0"/>
      <w:marRight w:val="0"/>
      <w:marTop w:val="0"/>
      <w:marBottom w:val="0"/>
      <w:divBdr>
        <w:top w:val="none" w:sz="0" w:space="0" w:color="auto"/>
        <w:left w:val="none" w:sz="0" w:space="0" w:color="auto"/>
        <w:bottom w:val="none" w:sz="0" w:space="0" w:color="auto"/>
        <w:right w:val="none" w:sz="0" w:space="0" w:color="auto"/>
      </w:divBdr>
    </w:div>
    <w:div w:id="768433117">
      <w:bodyDiv w:val="1"/>
      <w:marLeft w:val="0"/>
      <w:marRight w:val="0"/>
      <w:marTop w:val="0"/>
      <w:marBottom w:val="0"/>
      <w:divBdr>
        <w:top w:val="none" w:sz="0" w:space="0" w:color="auto"/>
        <w:left w:val="none" w:sz="0" w:space="0" w:color="auto"/>
        <w:bottom w:val="none" w:sz="0" w:space="0" w:color="auto"/>
        <w:right w:val="none" w:sz="0" w:space="0" w:color="auto"/>
      </w:divBdr>
    </w:div>
    <w:div w:id="779182204">
      <w:bodyDiv w:val="1"/>
      <w:marLeft w:val="0"/>
      <w:marRight w:val="0"/>
      <w:marTop w:val="0"/>
      <w:marBottom w:val="0"/>
      <w:divBdr>
        <w:top w:val="none" w:sz="0" w:space="0" w:color="auto"/>
        <w:left w:val="none" w:sz="0" w:space="0" w:color="auto"/>
        <w:bottom w:val="none" w:sz="0" w:space="0" w:color="auto"/>
        <w:right w:val="none" w:sz="0" w:space="0" w:color="auto"/>
      </w:divBdr>
    </w:div>
    <w:div w:id="912591915">
      <w:bodyDiv w:val="1"/>
      <w:marLeft w:val="0"/>
      <w:marRight w:val="0"/>
      <w:marTop w:val="0"/>
      <w:marBottom w:val="0"/>
      <w:divBdr>
        <w:top w:val="none" w:sz="0" w:space="0" w:color="auto"/>
        <w:left w:val="none" w:sz="0" w:space="0" w:color="auto"/>
        <w:bottom w:val="none" w:sz="0" w:space="0" w:color="auto"/>
        <w:right w:val="none" w:sz="0" w:space="0" w:color="auto"/>
      </w:divBdr>
    </w:div>
    <w:div w:id="988171305">
      <w:bodyDiv w:val="1"/>
      <w:marLeft w:val="0"/>
      <w:marRight w:val="0"/>
      <w:marTop w:val="0"/>
      <w:marBottom w:val="0"/>
      <w:divBdr>
        <w:top w:val="none" w:sz="0" w:space="0" w:color="auto"/>
        <w:left w:val="none" w:sz="0" w:space="0" w:color="auto"/>
        <w:bottom w:val="none" w:sz="0" w:space="0" w:color="auto"/>
        <w:right w:val="none" w:sz="0" w:space="0" w:color="auto"/>
      </w:divBdr>
    </w:div>
    <w:div w:id="1052734201">
      <w:bodyDiv w:val="1"/>
      <w:marLeft w:val="0"/>
      <w:marRight w:val="0"/>
      <w:marTop w:val="0"/>
      <w:marBottom w:val="0"/>
      <w:divBdr>
        <w:top w:val="none" w:sz="0" w:space="0" w:color="auto"/>
        <w:left w:val="none" w:sz="0" w:space="0" w:color="auto"/>
        <w:bottom w:val="none" w:sz="0" w:space="0" w:color="auto"/>
        <w:right w:val="none" w:sz="0" w:space="0" w:color="auto"/>
      </w:divBdr>
    </w:div>
    <w:div w:id="1069962410">
      <w:bodyDiv w:val="1"/>
      <w:marLeft w:val="0"/>
      <w:marRight w:val="0"/>
      <w:marTop w:val="0"/>
      <w:marBottom w:val="0"/>
      <w:divBdr>
        <w:top w:val="none" w:sz="0" w:space="0" w:color="auto"/>
        <w:left w:val="none" w:sz="0" w:space="0" w:color="auto"/>
        <w:bottom w:val="none" w:sz="0" w:space="0" w:color="auto"/>
        <w:right w:val="none" w:sz="0" w:space="0" w:color="auto"/>
      </w:divBdr>
    </w:div>
    <w:div w:id="1090659740">
      <w:bodyDiv w:val="1"/>
      <w:marLeft w:val="0"/>
      <w:marRight w:val="0"/>
      <w:marTop w:val="0"/>
      <w:marBottom w:val="0"/>
      <w:divBdr>
        <w:top w:val="none" w:sz="0" w:space="0" w:color="auto"/>
        <w:left w:val="none" w:sz="0" w:space="0" w:color="auto"/>
        <w:bottom w:val="none" w:sz="0" w:space="0" w:color="auto"/>
        <w:right w:val="none" w:sz="0" w:space="0" w:color="auto"/>
      </w:divBdr>
    </w:div>
    <w:div w:id="1326325889">
      <w:bodyDiv w:val="1"/>
      <w:marLeft w:val="0"/>
      <w:marRight w:val="0"/>
      <w:marTop w:val="0"/>
      <w:marBottom w:val="0"/>
      <w:divBdr>
        <w:top w:val="none" w:sz="0" w:space="0" w:color="auto"/>
        <w:left w:val="none" w:sz="0" w:space="0" w:color="auto"/>
        <w:bottom w:val="none" w:sz="0" w:space="0" w:color="auto"/>
        <w:right w:val="none" w:sz="0" w:space="0" w:color="auto"/>
      </w:divBdr>
      <w:divsChild>
        <w:div w:id="135070997">
          <w:marLeft w:val="0"/>
          <w:marRight w:val="0"/>
          <w:marTop w:val="0"/>
          <w:marBottom w:val="42"/>
          <w:divBdr>
            <w:top w:val="none" w:sz="0" w:space="0" w:color="auto"/>
            <w:left w:val="none" w:sz="0" w:space="0" w:color="auto"/>
            <w:bottom w:val="none" w:sz="0" w:space="0" w:color="auto"/>
            <w:right w:val="none" w:sz="0" w:space="0" w:color="auto"/>
          </w:divBdr>
        </w:div>
        <w:div w:id="168101806">
          <w:marLeft w:val="0"/>
          <w:marRight w:val="0"/>
          <w:marTop w:val="0"/>
          <w:marBottom w:val="42"/>
          <w:divBdr>
            <w:top w:val="none" w:sz="0" w:space="0" w:color="auto"/>
            <w:left w:val="none" w:sz="0" w:space="0" w:color="auto"/>
            <w:bottom w:val="none" w:sz="0" w:space="0" w:color="auto"/>
            <w:right w:val="none" w:sz="0" w:space="0" w:color="auto"/>
          </w:divBdr>
        </w:div>
        <w:div w:id="914506967">
          <w:marLeft w:val="0"/>
          <w:marRight w:val="0"/>
          <w:marTop w:val="0"/>
          <w:marBottom w:val="42"/>
          <w:divBdr>
            <w:top w:val="none" w:sz="0" w:space="0" w:color="auto"/>
            <w:left w:val="none" w:sz="0" w:space="0" w:color="auto"/>
            <w:bottom w:val="none" w:sz="0" w:space="0" w:color="auto"/>
            <w:right w:val="none" w:sz="0" w:space="0" w:color="auto"/>
          </w:divBdr>
        </w:div>
        <w:div w:id="1990398423">
          <w:marLeft w:val="720"/>
          <w:marRight w:val="0"/>
          <w:marTop w:val="0"/>
          <w:marBottom w:val="42"/>
          <w:divBdr>
            <w:top w:val="none" w:sz="0" w:space="0" w:color="auto"/>
            <w:left w:val="none" w:sz="0" w:space="0" w:color="auto"/>
            <w:bottom w:val="none" w:sz="0" w:space="0" w:color="auto"/>
            <w:right w:val="none" w:sz="0" w:space="0" w:color="auto"/>
          </w:divBdr>
        </w:div>
        <w:div w:id="1835761464">
          <w:marLeft w:val="0"/>
          <w:marRight w:val="0"/>
          <w:marTop w:val="0"/>
          <w:marBottom w:val="42"/>
          <w:divBdr>
            <w:top w:val="none" w:sz="0" w:space="0" w:color="auto"/>
            <w:left w:val="none" w:sz="0" w:space="0" w:color="auto"/>
            <w:bottom w:val="none" w:sz="0" w:space="0" w:color="auto"/>
            <w:right w:val="none" w:sz="0" w:space="0" w:color="auto"/>
          </w:divBdr>
        </w:div>
        <w:div w:id="885681508">
          <w:marLeft w:val="720"/>
          <w:marRight w:val="0"/>
          <w:marTop w:val="0"/>
          <w:marBottom w:val="42"/>
          <w:divBdr>
            <w:top w:val="none" w:sz="0" w:space="0" w:color="auto"/>
            <w:left w:val="none" w:sz="0" w:space="0" w:color="auto"/>
            <w:bottom w:val="none" w:sz="0" w:space="0" w:color="auto"/>
            <w:right w:val="none" w:sz="0" w:space="0" w:color="auto"/>
          </w:divBdr>
        </w:div>
        <w:div w:id="849296715">
          <w:marLeft w:val="0"/>
          <w:marRight w:val="0"/>
          <w:marTop w:val="0"/>
          <w:marBottom w:val="42"/>
          <w:divBdr>
            <w:top w:val="none" w:sz="0" w:space="0" w:color="auto"/>
            <w:left w:val="none" w:sz="0" w:space="0" w:color="auto"/>
            <w:bottom w:val="none" w:sz="0" w:space="0" w:color="auto"/>
            <w:right w:val="none" w:sz="0" w:space="0" w:color="auto"/>
          </w:divBdr>
        </w:div>
        <w:div w:id="263616118">
          <w:marLeft w:val="720"/>
          <w:marRight w:val="0"/>
          <w:marTop w:val="0"/>
          <w:marBottom w:val="42"/>
          <w:divBdr>
            <w:top w:val="none" w:sz="0" w:space="0" w:color="auto"/>
            <w:left w:val="none" w:sz="0" w:space="0" w:color="auto"/>
            <w:bottom w:val="none" w:sz="0" w:space="0" w:color="auto"/>
            <w:right w:val="none" w:sz="0" w:space="0" w:color="auto"/>
          </w:divBdr>
        </w:div>
        <w:div w:id="1166634503">
          <w:marLeft w:val="0"/>
          <w:marRight w:val="0"/>
          <w:marTop w:val="0"/>
          <w:marBottom w:val="42"/>
          <w:divBdr>
            <w:top w:val="none" w:sz="0" w:space="0" w:color="auto"/>
            <w:left w:val="none" w:sz="0" w:space="0" w:color="auto"/>
            <w:bottom w:val="none" w:sz="0" w:space="0" w:color="auto"/>
            <w:right w:val="none" w:sz="0" w:space="0" w:color="auto"/>
          </w:divBdr>
        </w:div>
        <w:div w:id="414547305">
          <w:marLeft w:val="720"/>
          <w:marRight w:val="0"/>
          <w:marTop w:val="0"/>
          <w:marBottom w:val="42"/>
          <w:divBdr>
            <w:top w:val="none" w:sz="0" w:space="0" w:color="auto"/>
            <w:left w:val="none" w:sz="0" w:space="0" w:color="auto"/>
            <w:bottom w:val="none" w:sz="0" w:space="0" w:color="auto"/>
            <w:right w:val="none" w:sz="0" w:space="0" w:color="auto"/>
          </w:divBdr>
        </w:div>
        <w:div w:id="1386828667">
          <w:marLeft w:val="1080"/>
          <w:marRight w:val="0"/>
          <w:marTop w:val="0"/>
          <w:marBottom w:val="42"/>
          <w:divBdr>
            <w:top w:val="none" w:sz="0" w:space="0" w:color="auto"/>
            <w:left w:val="none" w:sz="0" w:space="0" w:color="auto"/>
            <w:bottom w:val="none" w:sz="0" w:space="0" w:color="auto"/>
            <w:right w:val="none" w:sz="0" w:space="0" w:color="auto"/>
          </w:divBdr>
        </w:div>
        <w:div w:id="973487285">
          <w:marLeft w:val="1080"/>
          <w:marRight w:val="0"/>
          <w:marTop w:val="0"/>
          <w:marBottom w:val="42"/>
          <w:divBdr>
            <w:top w:val="none" w:sz="0" w:space="0" w:color="auto"/>
            <w:left w:val="none" w:sz="0" w:space="0" w:color="auto"/>
            <w:bottom w:val="none" w:sz="0" w:space="0" w:color="auto"/>
            <w:right w:val="none" w:sz="0" w:space="0" w:color="auto"/>
          </w:divBdr>
        </w:div>
        <w:div w:id="406921803">
          <w:marLeft w:val="1080"/>
          <w:marRight w:val="0"/>
          <w:marTop w:val="0"/>
          <w:marBottom w:val="42"/>
          <w:divBdr>
            <w:top w:val="none" w:sz="0" w:space="0" w:color="auto"/>
            <w:left w:val="none" w:sz="0" w:space="0" w:color="auto"/>
            <w:bottom w:val="none" w:sz="0" w:space="0" w:color="auto"/>
            <w:right w:val="none" w:sz="0" w:space="0" w:color="auto"/>
          </w:divBdr>
        </w:div>
        <w:div w:id="633830263">
          <w:marLeft w:val="1080"/>
          <w:marRight w:val="0"/>
          <w:marTop w:val="0"/>
          <w:marBottom w:val="42"/>
          <w:divBdr>
            <w:top w:val="none" w:sz="0" w:space="0" w:color="auto"/>
            <w:left w:val="none" w:sz="0" w:space="0" w:color="auto"/>
            <w:bottom w:val="none" w:sz="0" w:space="0" w:color="auto"/>
            <w:right w:val="none" w:sz="0" w:space="0" w:color="auto"/>
          </w:divBdr>
        </w:div>
        <w:div w:id="1002702698">
          <w:marLeft w:val="1080"/>
          <w:marRight w:val="0"/>
          <w:marTop w:val="0"/>
          <w:marBottom w:val="42"/>
          <w:divBdr>
            <w:top w:val="none" w:sz="0" w:space="0" w:color="auto"/>
            <w:left w:val="none" w:sz="0" w:space="0" w:color="auto"/>
            <w:bottom w:val="none" w:sz="0" w:space="0" w:color="auto"/>
            <w:right w:val="none" w:sz="0" w:space="0" w:color="auto"/>
          </w:divBdr>
        </w:div>
        <w:div w:id="2080665885">
          <w:marLeft w:val="720"/>
          <w:marRight w:val="0"/>
          <w:marTop w:val="0"/>
          <w:marBottom w:val="42"/>
          <w:divBdr>
            <w:top w:val="none" w:sz="0" w:space="0" w:color="auto"/>
            <w:left w:val="none" w:sz="0" w:space="0" w:color="auto"/>
            <w:bottom w:val="none" w:sz="0" w:space="0" w:color="auto"/>
            <w:right w:val="none" w:sz="0" w:space="0" w:color="auto"/>
          </w:divBdr>
        </w:div>
        <w:div w:id="474370357">
          <w:marLeft w:val="0"/>
          <w:marRight w:val="0"/>
          <w:marTop w:val="0"/>
          <w:marBottom w:val="42"/>
          <w:divBdr>
            <w:top w:val="none" w:sz="0" w:space="0" w:color="auto"/>
            <w:left w:val="none" w:sz="0" w:space="0" w:color="auto"/>
            <w:bottom w:val="none" w:sz="0" w:space="0" w:color="auto"/>
            <w:right w:val="none" w:sz="0" w:space="0" w:color="auto"/>
          </w:divBdr>
        </w:div>
        <w:div w:id="1993755463">
          <w:marLeft w:val="0"/>
          <w:marRight w:val="0"/>
          <w:marTop w:val="0"/>
          <w:marBottom w:val="42"/>
          <w:divBdr>
            <w:top w:val="none" w:sz="0" w:space="0" w:color="auto"/>
            <w:left w:val="none" w:sz="0" w:space="0" w:color="auto"/>
            <w:bottom w:val="none" w:sz="0" w:space="0" w:color="auto"/>
            <w:right w:val="none" w:sz="0" w:space="0" w:color="auto"/>
          </w:divBdr>
        </w:div>
        <w:div w:id="231350213">
          <w:marLeft w:val="0"/>
          <w:marRight w:val="0"/>
          <w:marTop w:val="0"/>
          <w:marBottom w:val="42"/>
          <w:divBdr>
            <w:top w:val="none" w:sz="0" w:space="0" w:color="auto"/>
            <w:left w:val="none" w:sz="0" w:space="0" w:color="auto"/>
            <w:bottom w:val="none" w:sz="0" w:space="0" w:color="auto"/>
            <w:right w:val="none" w:sz="0" w:space="0" w:color="auto"/>
          </w:divBdr>
        </w:div>
        <w:div w:id="1230387021">
          <w:marLeft w:val="0"/>
          <w:marRight w:val="0"/>
          <w:marTop w:val="0"/>
          <w:marBottom w:val="42"/>
          <w:divBdr>
            <w:top w:val="none" w:sz="0" w:space="0" w:color="auto"/>
            <w:left w:val="none" w:sz="0" w:space="0" w:color="auto"/>
            <w:bottom w:val="none" w:sz="0" w:space="0" w:color="auto"/>
            <w:right w:val="none" w:sz="0" w:space="0" w:color="auto"/>
          </w:divBdr>
        </w:div>
        <w:div w:id="549803473">
          <w:marLeft w:val="0"/>
          <w:marRight w:val="0"/>
          <w:marTop w:val="0"/>
          <w:marBottom w:val="42"/>
          <w:divBdr>
            <w:top w:val="none" w:sz="0" w:space="0" w:color="auto"/>
            <w:left w:val="none" w:sz="0" w:space="0" w:color="auto"/>
            <w:bottom w:val="none" w:sz="0" w:space="0" w:color="auto"/>
            <w:right w:val="none" w:sz="0" w:space="0" w:color="auto"/>
          </w:divBdr>
        </w:div>
        <w:div w:id="1304313308">
          <w:marLeft w:val="0"/>
          <w:marRight w:val="0"/>
          <w:marTop w:val="0"/>
          <w:marBottom w:val="42"/>
          <w:divBdr>
            <w:top w:val="none" w:sz="0" w:space="0" w:color="auto"/>
            <w:left w:val="none" w:sz="0" w:space="0" w:color="auto"/>
            <w:bottom w:val="none" w:sz="0" w:space="0" w:color="auto"/>
            <w:right w:val="none" w:sz="0" w:space="0" w:color="auto"/>
          </w:divBdr>
        </w:div>
        <w:div w:id="830944861">
          <w:marLeft w:val="0"/>
          <w:marRight w:val="0"/>
          <w:marTop w:val="0"/>
          <w:marBottom w:val="42"/>
          <w:divBdr>
            <w:top w:val="none" w:sz="0" w:space="0" w:color="auto"/>
            <w:left w:val="none" w:sz="0" w:space="0" w:color="auto"/>
            <w:bottom w:val="none" w:sz="0" w:space="0" w:color="auto"/>
            <w:right w:val="none" w:sz="0" w:space="0" w:color="auto"/>
          </w:divBdr>
        </w:div>
        <w:div w:id="400258142">
          <w:marLeft w:val="0"/>
          <w:marRight w:val="0"/>
          <w:marTop w:val="0"/>
          <w:marBottom w:val="42"/>
          <w:divBdr>
            <w:top w:val="none" w:sz="0" w:space="0" w:color="auto"/>
            <w:left w:val="none" w:sz="0" w:space="0" w:color="auto"/>
            <w:bottom w:val="none" w:sz="0" w:space="0" w:color="auto"/>
            <w:right w:val="none" w:sz="0" w:space="0" w:color="auto"/>
          </w:divBdr>
        </w:div>
        <w:div w:id="1912503038">
          <w:marLeft w:val="0"/>
          <w:marRight w:val="0"/>
          <w:marTop w:val="0"/>
          <w:marBottom w:val="42"/>
          <w:divBdr>
            <w:top w:val="none" w:sz="0" w:space="0" w:color="auto"/>
            <w:left w:val="none" w:sz="0" w:space="0" w:color="auto"/>
            <w:bottom w:val="none" w:sz="0" w:space="0" w:color="auto"/>
            <w:right w:val="none" w:sz="0" w:space="0" w:color="auto"/>
          </w:divBdr>
        </w:div>
        <w:div w:id="149568398">
          <w:marLeft w:val="0"/>
          <w:marRight w:val="0"/>
          <w:marTop w:val="0"/>
          <w:marBottom w:val="42"/>
          <w:divBdr>
            <w:top w:val="none" w:sz="0" w:space="0" w:color="auto"/>
            <w:left w:val="none" w:sz="0" w:space="0" w:color="auto"/>
            <w:bottom w:val="none" w:sz="0" w:space="0" w:color="auto"/>
            <w:right w:val="none" w:sz="0" w:space="0" w:color="auto"/>
          </w:divBdr>
        </w:div>
        <w:div w:id="1246108983">
          <w:marLeft w:val="0"/>
          <w:marRight w:val="0"/>
          <w:marTop w:val="0"/>
          <w:marBottom w:val="42"/>
          <w:divBdr>
            <w:top w:val="none" w:sz="0" w:space="0" w:color="auto"/>
            <w:left w:val="none" w:sz="0" w:space="0" w:color="auto"/>
            <w:bottom w:val="none" w:sz="0" w:space="0" w:color="auto"/>
            <w:right w:val="none" w:sz="0" w:space="0" w:color="auto"/>
          </w:divBdr>
        </w:div>
        <w:div w:id="1436361857">
          <w:marLeft w:val="0"/>
          <w:marRight w:val="0"/>
          <w:marTop w:val="0"/>
          <w:marBottom w:val="42"/>
          <w:divBdr>
            <w:top w:val="none" w:sz="0" w:space="0" w:color="auto"/>
            <w:left w:val="none" w:sz="0" w:space="0" w:color="auto"/>
            <w:bottom w:val="none" w:sz="0" w:space="0" w:color="auto"/>
            <w:right w:val="none" w:sz="0" w:space="0" w:color="auto"/>
          </w:divBdr>
        </w:div>
        <w:div w:id="16396972">
          <w:marLeft w:val="0"/>
          <w:marRight w:val="0"/>
          <w:marTop w:val="0"/>
          <w:marBottom w:val="42"/>
          <w:divBdr>
            <w:top w:val="none" w:sz="0" w:space="0" w:color="auto"/>
            <w:left w:val="none" w:sz="0" w:space="0" w:color="auto"/>
            <w:bottom w:val="none" w:sz="0" w:space="0" w:color="auto"/>
            <w:right w:val="none" w:sz="0" w:space="0" w:color="auto"/>
          </w:divBdr>
        </w:div>
        <w:div w:id="7296882">
          <w:marLeft w:val="0"/>
          <w:marRight w:val="0"/>
          <w:marTop w:val="0"/>
          <w:marBottom w:val="42"/>
          <w:divBdr>
            <w:top w:val="none" w:sz="0" w:space="0" w:color="auto"/>
            <w:left w:val="none" w:sz="0" w:space="0" w:color="auto"/>
            <w:bottom w:val="none" w:sz="0" w:space="0" w:color="auto"/>
            <w:right w:val="none" w:sz="0" w:space="0" w:color="auto"/>
          </w:divBdr>
        </w:div>
        <w:div w:id="1355227039">
          <w:marLeft w:val="0"/>
          <w:marRight w:val="0"/>
          <w:marTop w:val="0"/>
          <w:marBottom w:val="42"/>
          <w:divBdr>
            <w:top w:val="none" w:sz="0" w:space="0" w:color="auto"/>
            <w:left w:val="none" w:sz="0" w:space="0" w:color="auto"/>
            <w:bottom w:val="none" w:sz="0" w:space="0" w:color="auto"/>
            <w:right w:val="none" w:sz="0" w:space="0" w:color="auto"/>
          </w:divBdr>
        </w:div>
        <w:div w:id="803230030">
          <w:marLeft w:val="0"/>
          <w:marRight w:val="0"/>
          <w:marTop w:val="0"/>
          <w:marBottom w:val="42"/>
          <w:divBdr>
            <w:top w:val="none" w:sz="0" w:space="0" w:color="auto"/>
            <w:left w:val="none" w:sz="0" w:space="0" w:color="auto"/>
            <w:bottom w:val="none" w:sz="0" w:space="0" w:color="auto"/>
            <w:right w:val="none" w:sz="0" w:space="0" w:color="auto"/>
          </w:divBdr>
        </w:div>
        <w:div w:id="1204754401">
          <w:marLeft w:val="0"/>
          <w:marRight w:val="0"/>
          <w:marTop w:val="0"/>
          <w:marBottom w:val="42"/>
          <w:divBdr>
            <w:top w:val="none" w:sz="0" w:space="0" w:color="auto"/>
            <w:left w:val="none" w:sz="0" w:space="0" w:color="auto"/>
            <w:bottom w:val="none" w:sz="0" w:space="0" w:color="auto"/>
            <w:right w:val="none" w:sz="0" w:space="0" w:color="auto"/>
          </w:divBdr>
        </w:div>
        <w:div w:id="527181248">
          <w:marLeft w:val="0"/>
          <w:marRight w:val="0"/>
          <w:marTop w:val="0"/>
          <w:marBottom w:val="42"/>
          <w:divBdr>
            <w:top w:val="none" w:sz="0" w:space="0" w:color="auto"/>
            <w:left w:val="none" w:sz="0" w:space="0" w:color="auto"/>
            <w:bottom w:val="none" w:sz="0" w:space="0" w:color="auto"/>
            <w:right w:val="none" w:sz="0" w:space="0" w:color="auto"/>
          </w:divBdr>
        </w:div>
        <w:div w:id="1194073346">
          <w:marLeft w:val="0"/>
          <w:marRight w:val="0"/>
          <w:marTop w:val="0"/>
          <w:marBottom w:val="42"/>
          <w:divBdr>
            <w:top w:val="none" w:sz="0" w:space="0" w:color="auto"/>
            <w:left w:val="none" w:sz="0" w:space="0" w:color="auto"/>
            <w:bottom w:val="none" w:sz="0" w:space="0" w:color="auto"/>
            <w:right w:val="none" w:sz="0" w:space="0" w:color="auto"/>
          </w:divBdr>
        </w:div>
        <w:div w:id="1507599725">
          <w:marLeft w:val="0"/>
          <w:marRight w:val="0"/>
          <w:marTop w:val="0"/>
          <w:marBottom w:val="42"/>
          <w:divBdr>
            <w:top w:val="none" w:sz="0" w:space="0" w:color="auto"/>
            <w:left w:val="none" w:sz="0" w:space="0" w:color="auto"/>
            <w:bottom w:val="none" w:sz="0" w:space="0" w:color="auto"/>
            <w:right w:val="none" w:sz="0" w:space="0" w:color="auto"/>
          </w:divBdr>
        </w:div>
        <w:div w:id="1485463414">
          <w:marLeft w:val="0"/>
          <w:marRight w:val="0"/>
          <w:marTop w:val="0"/>
          <w:marBottom w:val="42"/>
          <w:divBdr>
            <w:top w:val="none" w:sz="0" w:space="0" w:color="auto"/>
            <w:left w:val="none" w:sz="0" w:space="0" w:color="auto"/>
            <w:bottom w:val="none" w:sz="0" w:space="0" w:color="auto"/>
            <w:right w:val="none" w:sz="0" w:space="0" w:color="auto"/>
          </w:divBdr>
        </w:div>
        <w:div w:id="1626158278">
          <w:marLeft w:val="0"/>
          <w:marRight w:val="0"/>
          <w:marTop w:val="0"/>
          <w:marBottom w:val="42"/>
          <w:divBdr>
            <w:top w:val="none" w:sz="0" w:space="0" w:color="auto"/>
            <w:left w:val="none" w:sz="0" w:space="0" w:color="auto"/>
            <w:bottom w:val="none" w:sz="0" w:space="0" w:color="auto"/>
            <w:right w:val="none" w:sz="0" w:space="0" w:color="auto"/>
          </w:divBdr>
        </w:div>
        <w:div w:id="497305085">
          <w:marLeft w:val="0"/>
          <w:marRight w:val="0"/>
          <w:marTop w:val="0"/>
          <w:marBottom w:val="42"/>
          <w:divBdr>
            <w:top w:val="none" w:sz="0" w:space="0" w:color="auto"/>
            <w:left w:val="none" w:sz="0" w:space="0" w:color="auto"/>
            <w:bottom w:val="none" w:sz="0" w:space="0" w:color="auto"/>
            <w:right w:val="none" w:sz="0" w:space="0" w:color="auto"/>
          </w:divBdr>
        </w:div>
        <w:div w:id="362554910">
          <w:marLeft w:val="0"/>
          <w:marRight w:val="0"/>
          <w:marTop w:val="0"/>
          <w:marBottom w:val="42"/>
          <w:divBdr>
            <w:top w:val="none" w:sz="0" w:space="0" w:color="auto"/>
            <w:left w:val="none" w:sz="0" w:space="0" w:color="auto"/>
            <w:bottom w:val="none" w:sz="0" w:space="0" w:color="auto"/>
            <w:right w:val="none" w:sz="0" w:space="0" w:color="auto"/>
          </w:divBdr>
        </w:div>
        <w:div w:id="1763068934">
          <w:marLeft w:val="0"/>
          <w:marRight w:val="0"/>
          <w:marTop w:val="0"/>
          <w:marBottom w:val="42"/>
          <w:divBdr>
            <w:top w:val="none" w:sz="0" w:space="0" w:color="auto"/>
            <w:left w:val="none" w:sz="0" w:space="0" w:color="auto"/>
            <w:bottom w:val="none" w:sz="0" w:space="0" w:color="auto"/>
            <w:right w:val="none" w:sz="0" w:space="0" w:color="auto"/>
          </w:divBdr>
        </w:div>
        <w:div w:id="309989294">
          <w:marLeft w:val="0"/>
          <w:marRight w:val="0"/>
          <w:marTop w:val="0"/>
          <w:marBottom w:val="42"/>
          <w:divBdr>
            <w:top w:val="none" w:sz="0" w:space="0" w:color="auto"/>
            <w:left w:val="none" w:sz="0" w:space="0" w:color="auto"/>
            <w:bottom w:val="none" w:sz="0" w:space="0" w:color="auto"/>
            <w:right w:val="none" w:sz="0" w:space="0" w:color="auto"/>
          </w:divBdr>
        </w:div>
        <w:div w:id="387144107">
          <w:marLeft w:val="0"/>
          <w:marRight w:val="0"/>
          <w:marTop w:val="0"/>
          <w:marBottom w:val="42"/>
          <w:divBdr>
            <w:top w:val="none" w:sz="0" w:space="0" w:color="auto"/>
            <w:left w:val="none" w:sz="0" w:space="0" w:color="auto"/>
            <w:bottom w:val="none" w:sz="0" w:space="0" w:color="auto"/>
            <w:right w:val="none" w:sz="0" w:space="0" w:color="auto"/>
          </w:divBdr>
        </w:div>
        <w:div w:id="449251777">
          <w:marLeft w:val="0"/>
          <w:marRight w:val="0"/>
          <w:marTop w:val="0"/>
          <w:marBottom w:val="42"/>
          <w:divBdr>
            <w:top w:val="none" w:sz="0" w:space="0" w:color="auto"/>
            <w:left w:val="none" w:sz="0" w:space="0" w:color="auto"/>
            <w:bottom w:val="none" w:sz="0" w:space="0" w:color="auto"/>
            <w:right w:val="none" w:sz="0" w:space="0" w:color="auto"/>
          </w:divBdr>
        </w:div>
        <w:div w:id="333345313">
          <w:marLeft w:val="0"/>
          <w:marRight w:val="0"/>
          <w:marTop w:val="0"/>
          <w:marBottom w:val="42"/>
          <w:divBdr>
            <w:top w:val="none" w:sz="0" w:space="0" w:color="auto"/>
            <w:left w:val="none" w:sz="0" w:space="0" w:color="auto"/>
            <w:bottom w:val="none" w:sz="0" w:space="0" w:color="auto"/>
            <w:right w:val="none" w:sz="0" w:space="0" w:color="auto"/>
          </w:divBdr>
        </w:div>
        <w:div w:id="422721096">
          <w:marLeft w:val="0"/>
          <w:marRight w:val="0"/>
          <w:marTop w:val="0"/>
          <w:marBottom w:val="42"/>
          <w:divBdr>
            <w:top w:val="none" w:sz="0" w:space="0" w:color="auto"/>
            <w:left w:val="none" w:sz="0" w:space="0" w:color="auto"/>
            <w:bottom w:val="none" w:sz="0" w:space="0" w:color="auto"/>
            <w:right w:val="none" w:sz="0" w:space="0" w:color="auto"/>
          </w:divBdr>
        </w:div>
        <w:div w:id="1893543107">
          <w:marLeft w:val="0"/>
          <w:marRight w:val="0"/>
          <w:marTop w:val="0"/>
          <w:marBottom w:val="101"/>
          <w:divBdr>
            <w:top w:val="none" w:sz="0" w:space="0" w:color="auto"/>
            <w:left w:val="none" w:sz="0" w:space="0" w:color="auto"/>
            <w:bottom w:val="none" w:sz="0" w:space="0" w:color="auto"/>
            <w:right w:val="none" w:sz="0" w:space="0" w:color="auto"/>
          </w:divBdr>
        </w:div>
      </w:divsChild>
    </w:div>
    <w:div w:id="18396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CONTADOR2</dc:creator>
  <cp:keywords/>
  <dc:description/>
  <cp:lastModifiedBy>ROSARIO</cp:lastModifiedBy>
  <cp:revision>9</cp:revision>
  <cp:lastPrinted>2023-02-27T16:48:00Z</cp:lastPrinted>
  <dcterms:created xsi:type="dcterms:W3CDTF">2023-02-24T23:07:00Z</dcterms:created>
  <dcterms:modified xsi:type="dcterms:W3CDTF">2024-02-01T18:51:00Z</dcterms:modified>
</cp:coreProperties>
</file>